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90A41" w14:textId="4FFE6D1B" w:rsidR="0085177F" w:rsidRPr="00F31645" w:rsidRDefault="00F31645">
      <w:pPr>
        <w:rPr>
          <w:rFonts w:cstheme="minorHAnsi"/>
          <w:b/>
          <w:bCs/>
        </w:rPr>
      </w:pPr>
      <w:r w:rsidRPr="00F31645">
        <w:rPr>
          <w:rFonts w:cstheme="minorHAnsi"/>
          <w:b/>
          <w:bCs/>
        </w:rPr>
        <w:t>Agriscience Fair</w:t>
      </w:r>
    </w:p>
    <w:p w14:paraId="6EAC7C2C" w14:textId="1E9D40E3" w:rsidR="00F31645" w:rsidRPr="00F31645" w:rsidRDefault="00F31645">
      <w:pPr>
        <w:rPr>
          <w:rFonts w:cstheme="minorHAnsi"/>
          <w:b/>
          <w:bCs/>
        </w:rPr>
      </w:pPr>
      <w:r w:rsidRPr="00F31645">
        <w:rPr>
          <w:rFonts w:cstheme="minorHAnsi"/>
          <w:b/>
          <w:bCs/>
        </w:rPr>
        <w:t xml:space="preserve">College and Career Readiness projects tend to fall in the Social Science Categories. </w:t>
      </w:r>
    </w:p>
    <w:p w14:paraId="46A61156" w14:textId="77777777" w:rsidR="00F31645" w:rsidRPr="00F31645" w:rsidRDefault="00F31645">
      <w:pPr>
        <w:rPr>
          <w:rFonts w:cstheme="minorHAnsi"/>
          <w:b/>
          <w:bCs/>
          <w:shd w:val="clear" w:color="auto" w:fill="FFFFFF"/>
        </w:rPr>
      </w:pPr>
      <w:r w:rsidRPr="00F31645">
        <w:rPr>
          <w:rFonts w:cstheme="minorHAnsi"/>
          <w:b/>
          <w:bCs/>
          <w:shd w:val="clear" w:color="auto" w:fill="FFFFFF"/>
        </w:rPr>
        <w:t>Social Science (SS)</w:t>
      </w:r>
    </w:p>
    <w:p w14:paraId="08706D68" w14:textId="77777777" w:rsidR="00F31645" w:rsidRPr="00F31645" w:rsidRDefault="00F31645">
      <w:pPr>
        <w:rPr>
          <w:rFonts w:cstheme="minorHAnsi"/>
          <w:shd w:val="clear" w:color="auto" w:fill="FFFFFF"/>
        </w:rPr>
      </w:pPr>
      <w:r w:rsidRPr="00F31645">
        <w:rPr>
          <w:rFonts w:cstheme="minorHAnsi"/>
          <w:shd w:val="clear" w:color="auto" w:fill="FFFFFF"/>
        </w:rPr>
        <w:t xml:space="preserve">The study of agricultural areas including agricultural education, agribusiness, agricultural communication, agricultural leadership and sales in agriculture, </w:t>
      </w:r>
      <w:proofErr w:type="gramStart"/>
      <w:r w:rsidRPr="00F31645">
        <w:rPr>
          <w:rFonts w:cstheme="minorHAnsi"/>
          <w:shd w:val="clear" w:color="auto" w:fill="FFFFFF"/>
        </w:rPr>
        <w:t>food</w:t>
      </w:r>
      <w:proofErr w:type="gramEnd"/>
      <w:r w:rsidRPr="00F31645">
        <w:rPr>
          <w:rFonts w:cstheme="minorHAnsi"/>
          <w:shd w:val="clear" w:color="auto" w:fill="FFFFFF"/>
        </w:rPr>
        <w:t xml:space="preserve"> and natural resources.</w:t>
      </w:r>
    </w:p>
    <w:p w14:paraId="1B92C869" w14:textId="77777777" w:rsidR="00F31645" w:rsidRPr="00F31645" w:rsidRDefault="00F31645">
      <w:pPr>
        <w:rPr>
          <w:rFonts w:cstheme="minorHAnsi"/>
          <w:i/>
          <w:iCs/>
          <w:shd w:val="clear" w:color="auto" w:fill="FFFFFF"/>
        </w:rPr>
      </w:pPr>
      <w:r w:rsidRPr="00F31645">
        <w:rPr>
          <w:rFonts w:cstheme="minorHAnsi"/>
          <w:i/>
          <w:iCs/>
          <w:shd w:val="clear" w:color="auto" w:fill="FFFFFF"/>
        </w:rPr>
        <w:t>Examples</w:t>
      </w:r>
    </w:p>
    <w:p w14:paraId="68B1C23E" w14:textId="77777777" w:rsidR="00F31645" w:rsidRPr="00F31645" w:rsidRDefault="00F31645">
      <w:pPr>
        <w:rPr>
          <w:rFonts w:cstheme="minorHAnsi"/>
          <w:shd w:val="clear" w:color="auto" w:fill="FFFFFF"/>
        </w:rPr>
      </w:pPr>
      <w:r w:rsidRPr="00F31645">
        <w:rPr>
          <w:rFonts w:cstheme="minorHAnsi"/>
          <w:shd w:val="clear" w:color="auto" w:fill="FFFFFF"/>
        </w:rPr>
        <w:t>•Investigate perceptions of community members toward alternative agricultural practices</w:t>
      </w:r>
    </w:p>
    <w:p w14:paraId="6C1D86DD" w14:textId="77777777" w:rsidR="00F31645" w:rsidRPr="00F31645" w:rsidRDefault="00F31645">
      <w:pPr>
        <w:rPr>
          <w:rFonts w:cstheme="minorHAnsi"/>
          <w:shd w:val="clear" w:color="auto" w:fill="FFFFFF"/>
        </w:rPr>
      </w:pPr>
      <w:r w:rsidRPr="00F31645">
        <w:rPr>
          <w:rFonts w:cstheme="minorHAnsi"/>
          <w:shd w:val="clear" w:color="auto" w:fill="FFFFFF"/>
        </w:rPr>
        <w:t>•Determine the impact of local/state/national safety programs upon accident rates in agricultural/natural resource occupations</w:t>
      </w:r>
    </w:p>
    <w:p w14:paraId="2BB2236B" w14:textId="77777777" w:rsidR="00F31645" w:rsidRPr="00F31645" w:rsidRDefault="00F31645">
      <w:pPr>
        <w:rPr>
          <w:rFonts w:cstheme="minorHAnsi"/>
          <w:shd w:val="clear" w:color="auto" w:fill="FFFFFF"/>
        </w:rPr>
      </w:pPr>
      <w:r w:rsidRPr="00F31645">
        <w:rPr>
          <w:rFonts w:cstheme="minorHAnsi"/>
          <w:shd w:val="clear" w:color="auto" w:fill="FFFFFF"/>
        </w:rPr>
        <w:t>•Comparison of profitability of various agricultural/natural resource practices</w:t>
      </w:r>
    </w:p>
    <w:p w14:paraId="7BF7EE96" w14:textId="7188E47A" w:rsidR="00F31645" w:rsidRPr="00F31645" w:rsidRDefault="00F31645">
      <w:pPr>
        <w:rPr>
          <w:rFonts w:cstheme="minorHAnsi"/>
          <w:shd w:val="clear" w:color="auto" w:fill="FFFFFF"/>
        </w:rPr>
      </w:pPr>
      <w:r w:rsidRPr="00F31645">
        <w:rPr>
          <w:rFonts w:cstheme="minorHAnsi"/>
          <w:shd w:val="clear" w:color="auto" w:fill="FFFFFF"/>
        </w:rPr>
        <w:t>•Investigate the impact of significant historical figures on a local community</w:t>
      </w:r>
    </w:p>
    <w:p w14:paraId="2B06CDE6" w14:textId="2ACBB3F4" w:rsidR="00F31645" w:rsidRPr="00F31645" w:rsidRDefault="00F31645">
      <w:pPr>
        <w:rPr>
          <w:rFonts w:cstheme="minorHAnsi"/>
          <w:shd w:val="clear" w:color="auto" w:fill="FFFFFF"/>
        </w:rPr>
      </w:pPr>
      <w:r w:rsidRPr="00F31645">
        <w:rPr>
          <w:rFonts w:cstheme="minorHAnsi"/>
          <w:shd w:val="clear" w:color="auto" w:fill="FFFFFF"/>
        </w:rPr>
        <w:t>•Determine the economic effects of local/state/national legislation impacting agricultural/</w:t>
      </w:r>
      <w:r w:rsidRPr="00F31645">
        <w:rPr>
          <w:rFonts w:cstheme="minorHAnsi"/>
          <w:shd w:val="clear" w:color="auto" w:fill="FFFFFF"/>
        </w:rPr>
        <w:t>natural resources</w:t>
      </w:r>
    </w:p>
    <w:p w14:paraId="574AC261" w14:textId="77777777" w:rsidR="00F31645" w:rsidRPr="00F31645" w:rsidRDefault="00F31645">
      <w:pPr>
        <w:rPr>
          <w:rFonts w:cstheme="minorHAnsi"/>
          <w:shd w:val="clear" w:color="auto" w:fill="FFFFFF"/>
        </w:rPr>
      </w:pPr>
      <w:r w:rsidRPr="00F31645">
        <w:rPr>
          <w:rFonts w:cstheme="minorHAnsi"/>
          <w:shd w:val="clear" w:color="auto" w:fill="FFFFFF"/>
        </w:rPr>
        <w:t>•Consumer confidence and understanding of food labels</w:t>
      </w:r>
    </w:p>
    <w:p w14:paraId="11CF00B6" w14:textId="7F6BF24A" w:rsidR="00F31645" w:rsidRDefault="00F31645">
      <w:pPr>
        <w:rPr>
          <w:rFonts w:cstheme="minorHAnsi"/>
          <w:shd w:val="clear" w:color="auto" w:fill="FFFFFF"/>
        </w:rPr>
      </w:pPr>
      <w:r w:rsidRPr="00F31645">
        <w:rPr>
          <w:rFonts w:cstheme="minorHAnsi"/>
          <w:shd w:val="clear" w:color="auto" w:fill="FFFFFF"/>
        </w:rPr>
        <w:t>•Economic effect of employment rate and meat consumption</w:t>
      </w:r>
    </w:p>
    <w:p w14:paraId="6B3AF8EA" w14:textId="506C28E9" w:rsidR="00F31645" w:rsidRDefault="00F31645">
      <w:pPr>
        <w:rPr>
          <w:rFonts w:cstheme="minorHAnsi"/>
          <w:shd w:val="clear" w:color="auto" w:fill="FFFFFF"/>
        </w:rPr>
      </w:pPr>
    </w:p>
    <w:p w14:paraId="606A4EE1" w14:textId="13870836" w:rsidR="00F31645" w:rsidRDefault="00F31645">
      <w:pPr>
        <w:rPr>
          <w:rFonts w:cstheme="minorHAnsi"/>
          <w:b/>
          <w:bCs/>
          <w:shd w:val="clear" w:color="auto" w:fill="FFFFFF"/>
        </w:rPr>
      </w:pPr>
      <w:r w:rsidRPr="00F31645">
        <w:rPr>
          <w:rFonts w:cstheme="minorHAnsi"/>
          <w:b/>
          <w:bCs/>
          <w:shd w:val="clear" w:color="auto" w:fill="FFFFFF"/>
        </w:rPr>
        <w:t>Example projects:</w:t>
      </w:r>
    </w:p>
    <w:p w14:paraId="3E52C30E" w14:textId="0A1C4FAC" w:rsidR="00F31645" w:rsidRDefault="00F31645">
      <w:pPr>
        <w:rPr>
          <w:rFonts w:cstheme="minorHAnsi"/>
          <w:b/>
          <w:bCs/>
          <w:shd w:val="clear" w:color="auto" w:fill="FFFFFF"/>
        </w:rPr>
      </w:pPr>
      <w:r>
        <w:rPr>
          <w:rFonts w:cstheme="minorHAnsi"/>
          <w:b/>
          <w:bCs/>
          <w:shd w:val="clear" w:color="auto" w:fill="FFFFFF"/>
        </w:rPr>
        <w:t>2019 – Social Sciences top-3 projects</w:t>
      </w:r>
    </w:p>
    <w:p w14:paraId="63A6FBDF" w14:textId="7B2923F7" w:rsidR="00F31645" w:rsidRDefault="00F31645">
      <w:pPr>
        <w:rPr>
          <w:rFonts w:cstheme="minorHAnsi"/>
          <w:b/>
          <w:bCs/>
          <w:i/>
          <w:iCs/>
          <w:shd w:val="clear" w:color="auto" w:fill="FFFFFF"/>
        </w:rPr>
      </w:pPr>
      <w:r w:rsidRPr="00F31645">
        <w:rPr>
          <w:rFonts w:cstheme="minorHAnsi"/>
          <w:b/>
          <w:bCs/>
          <w:i/>
          <w:iCs/>
          <w:shd w:val="clear" w:color="auto" w:fill="FFFFFF"/>
        </w:rPr>
        <w:t>Division I – Blake Coleman, Lakeside Middle FFA of California, 3</w:t>
      </w:r>
      <w:r w:rsidRPr="00F31645">
        <w:rPr>
          <w:rFonts w:cstheme="minorHAnsi"/>
          <w:b/>
          <w:bCs/>
          <w:i/>
          <w:iCs/>
          <w:shd w:val="clear" w:color="auto" w:fill="FFFFFF"/>
          <w:vertAlign w:val="superscript"/>
        </w:rPr>
        <w:t>rd</w:t>
      </w:r>
      <w:r w:rsidRPr="00F31645">
        <w:rPr>
          <w:rFonts w:cstheme="minorHAnsi"/>
          <w:b/>
          <w:bCs/>
          <w:i/>
          <w:iCs/>
          <w:shd w:val="clear" w:color="auto" w:fill="FFFFFF"/>
        </w:rPr>
        <w:t xml:space="preserve"> Place</w:t>
      </w:r>
    </w:p>
    <w:p w14:paraId="7455BA8E" w14:textId="48BCA1E0" w:rsidR="00F31645" w:rsidRDefault="00F31645">
      <w:pPr>
        <w:rPr>
          <w:rFonts w:cstheme="minorHAnsi"/>
          <w:b/>
          <w:bCs/>
          <w:i/>
          <w:iCs/>
          <w:shd w:val="clear" w:color="auto" w:fill="FFFFFF"/>
        </w:rPr>
      </w:pPr>
      <w:r>
        <w:rPr>
          <w:rFonts w:cstheme="minorHAnsi"/>
          <w:b/>
          <w:bCs/>
          <w:i/>
          <w:iCs/>
          <w:shd w:val="clear" w:color="auto" w:fill="FFFFFF"/>
        </w:rPr>
        <w:t xml:space="preserve">Abstract: </w:t>
      </w:r>
      <w:r w:rsidRPr="00F31645">
        <w:rPr>
          <w:rFonts w:cstheme="minorHAnsi"/>
          <w:shd w:val="clear" w:color="auto" w:fill="FFFFFF"/>
        </w:rPr>
        <w:t>This study was conducted to assess the knowledge and perception agriculture in middle school students. The previous research studies were on high school students therefore, the current study was conducted on middle school students. Electronic surveys were distributed and collected through survey monkey from 831 respondents at four middle schools in Lakeside, CA. Participants were asked to respond to questions regarding the importance of agriculture in the community, their knowledge of agriculture careers, and their perception of agriculture education. This research study found that most students had below average knowledge of agriculture and showed little interest in agriculture careers. Furthermore, there was no difference in knowledge or perception of agriculture in students with and without an agriculture education program at their school. Based on the results of this study, it is recommended that the agriculture education program is expanded and includes more community outreach to increase the knowledge of community members.</w:t>
      </w:r>
      <w:r>
        <w:rPr>
          <w:rFonts w:cstheme="minorHAnsi"/>
          <w:b/>
          <w:bCs/>
          <w:i/>
          <w:iCs/>
          <w:shd w:val="clear" w:color="auto" w:fill="FFFFFF"/>
        </w:rPr>
        <w:t xml:space="preserve"> </w:t>
      </w:r>
    </w:p>
    <w:p w14:paraId="079ADC87" w14:textId="5B0AEBD3" w:rsidR="00F31645" w:rsidRDefault="00F31645">
      <w:pPr>
        <w:rPr>
          <w:rFonts w:cstheme="minorHAnsi"/>
          <w:b/>
          <w:bCs/>
          <w:i/>
          <w:iCs/>
          <w:shd w:val="clear" w:color="auto" w:fill="FFFFFF"/>
        </w:rPr>
      </w:pPr>
    </w:p>
    <w:p w14:paraId="6996C709" w14:textId="3A36A1F6" w:rsidR="00F31645" w:rsidRDefault="00F31645" w:rsidP="00F31645">
      <w:pPr>
        <w:rPr>
          <w:rFonts w:cstheme="minorHAnsi"/>
          <w:b/>
          <w:bCs/>
          <w:i/>
          <w:iCs/>
          <w:shd w:val="clear" w:color="auto" w:fill="FFFFFF"/>
        </w:rPr>
      </w:pPr>
      <w:r w:rsidRPr="00F31645">
        <w:rPr>
          <w:rFonts w:cstheme="minorHAnsi"/>
          <w:b/>
          <w:bCs/>
          <w:i/>
          <w:iCs/>
          <w:shd w:val="clear" w:color="auto" w:fill="FFFFFF"/>
        </w:rPr>
        <w:t xml:space="preserve">Division </w:t>
      </w:r>
      <w:r>
        <w:rPr>
          <w:rFonts w:cstheme="minorHAnsi"/>
          <w:b/>
          <w:bCs/>
          <w:i/>
          <w:iCs/>
          <w:shd w:val="clear" w:color="auto" w:fill="FFFFFF"/>
        </w:rPr>
        <w:t>6</w:t>
      </w:r>
      <w:r w:rsidRPr="00F31645">
        <w:rPr>
          <w:rFonts w:cstheme="minorHAnsi"/>
          <w:b/>
          <w:bCs/>
          <w:i/>
          <w:iCs/>
          <w:shd w:val="clear" w:color="auto" w:fill="FFFFFF"/>
        </w:rPr>
        <w:t xml:space="preserve"> – </w:t>
      </w:r>
      <w:r>
        <w:rPr>
          <w:rFonts w:cstheme="minorHAnsi"/>
          <w:b/>
          <w:bCs/>
          <w:i/>
          <w:iCs/>
          <w:shd w:val="clear" w:color="auto" w:fill="FFFFFF"/>
        </w:rPr>
        <w:t xml:space="preserve">Justin </w:t>
      </w:r>
      <w:proofErr w:type="spellStart"/>
      <w:r>
        <w:rPr>
          <w:rFonts w:cstheme="minorHAnsi"/>
          <w:b/>
          <w:bCs/>
          <w:i/>
          <w:iCs/>
          <w:shd w:val="clear" w:color="auto" w:fill="FFFFFF"/>
        </w:rPr>
        <w:t>Schobeloch</w:t>
      </w:r>
      <w:proofErr w:type="spellEnd"/>
      <w:r>
        <w:rPr>
          <w:rFonts w:cstheme="minorHAnsi"/>
          <w:b/>
          <w:bCs/>
          <w:i/>
          <w:iCs/>
          <w:shd w:val="clear" w:color="auto" w:fill="FFFFFF"/>
        </w:rPr>
        <w:t xml:space="preserve"> and Darby Minor</w:t>
      </w:r>
      <w:r w:rsidRPr="00F31645">
        <w:rPr>
          <w:rFonts w:cstheme="minorHAnsi"/>
          <w:b/>
          <w:bCs/>
          <w:i/>
          <w:iCs/>
          <w:shd w:val="clear" w:color="auto" w:fill="FFFFFF"/>
        </w:rPr>
        <w:t xml:space="preserve">, </w:t>
      </w:r>
      <w:r>
        <w:rPr>
          <w:rFonts w:cstheme="minorHAnsi"/>
          <w:b/>
          <w:bCs/>
          <w:i/>
          <w:iCs/>
          <w:shd w:val="clear" w:color="auto" w:fill="FFFFFF"/>
        </w:rPr>
        <w:t>Westfall</w:t>
      </w:r>
      <w:r w:rsidRPr="00F31645">
        <w:rPr>
          <w:rFonts w:cstheme="minorHAnsi"/>
          <w:b/>
          <w:bCs/>
          <w:i/>
          <w:iCs/>
          <w:shd w:val="clear" w:color="auto" w:fill="FFFFFF"/>
        </w:rPr>
        <w:t xml:space="preserve"> FFA of </w:t>
      </w:r>
      <w:r>
        <w:rPr>
          <w:rFonts w:cstheme="minorHAnsi"/>
          <w:b/>
          <w:bCs/>
          <w:i/>
          <w:iCs/>
          <w:shd w:val="clear" w:color="auto" w:fill="FFFFFF"/>
        </w:rPr>
        <w:t>Ohio</w:t>
      </w:r>
      <w:r w:rsidRPr="00F31645">
        <w:rPr>
          <w:rFonts w:cstheme="minorHAnsi"/>
          <w:b/>
          <w:bCs/>
          <w:i/>
          <w:iCs/>
          <w:shd w:val="clear" w:color="auto" w:fill="FFFFFF"/>
        </w:rPr>
        <w:t>, 3</w:t>
      </w:r>
      <w:r w:rsidRPr="00F31645">
        <w:rPr>
          <w:rFonts w:cstheme="minorHAnsi"/>
          <w:b/>
          <w:bCs/>
          <w:i/>
          <w:iCs/>
          <w:shd w:val="clear" w:color="auto" w:fill="FFFFFF"/>
          <w:vertAlign w:val="superscript"/>
        </w:rPr>
        <w:t>rd</w:t>
      </w:r>
      <w:r w:rsidRPr="00F31645">
        <w:rPr>
          <w:rFonts w:cstheme="minorHAnsi"/>
          <w:b/>
          <w:bCs/>
          <w:i/>
          <w:iCs/>
          <w:shd w:val="clear" w:color="auto" w:fill="FFFFFF"/>
        </w:rPr>
        <w:t xml:space="preserve"> Place</w:t>
      </w:r>
    </w:p>
    <w:p w14:paraId="43FF079E" w14:textId="3FD21326" w:rsidR="00F31645" w:rsidRPr="00F31645" w:rsidRDefault="00F31645" w:rsidP="00F31645">
      <w:pPr>
        <w:rPr>
          <w:rFonts w:cstheme="minorHAnsi"/>
          <w:shd w:val="clear" w:color="auto" w:fill="FFFFFF"/>
        </w:rPr>
      </w:pPr>
      <w:r>
        <w:rPr>
          <w:rFonts w:cstheme="minorHAnsi"/>
          <w:b/>
          <w:bCs/>
          <w:i/>
          <w:iCs/>
          <w:shd w:val="clear" w:color="auto" w:fill="FFFFFF"/>
        </w:rPr>
        <w:t>Abstract:</w:t>
      </w:r>
      <w:r>
        <w:rPr>
          <w:rFonts w:cstheme="minorHAnsi"/>
          <w:b/>
          <w:bCs/>
          <w:i/>
          <w:iCs/>
          <w:shd w:val="clear" w:color="auto" w:fill="FFFFFF"/>
        </w:rPr>
        <w:t xml:space="preserve"> </w:t>
      </w:r>
      <w:r w:rsidRPr="00F31645">
        <w:rPr>
          <w:rFonts w:cstheme="minorHAnsi"/>
          <w:shd w:val="clear" w:color="auto" w:fill="FFFFFF"/>
        </w:rPr>
        <w:t xml:space="preserve">The industry credential graduation pathway </w:t>
      </w:r>
      <w:r w:rsidRPr="00F31645">
        <w:rPr>
          <w:rFonts w:cstheme="minorHAnsi"/>
          <w:shd w:val="clear" w:color="auto" w:fill="FFFFFF"/>
        </w:rPr>
        <w:t>survey</w:t>
      </w:r>
      <w:r w:rsidRPr="00F31645">
        <w:rPr>
          <w:rFonts w:cstheme="minorHAnsi"/>
          <w:shd w:val="clear" w:color="auto" w:fill="FFFFFF"/>
        </w:rPr>
        <w:t xml:space="preserve"> purpose was to find out what school administrators think of the new industry credential graduation pathway in Ohio. The survey was sent </w:t>
      </w:r>
      <w:r w:rsidRPr="00F31645">
        <w:rPr>
          <w:rFonts w:cstheme="minorHAnsi"/>
          <w:shd w:val="clear" w:color="auto" w:fill="FFFFFF"/>
        </w:rPr>
        <w:lastRenderedPageBreak/>
        <w:t xml:space="preserve">out through email to over 700 high schools that </w:t>
      </w:r>
      <w:proofErr w:type="gramStart"/>
      <w:r w:rsidRPr="00F31645">
        <w:rPr>
          <w:rFonts w:cstheme="minorHAnsi"/>
          <w:shd w:val="clear" w:color="auto" w:fill="FFFFFF"/>
        </w:rPr>
        <w:t>are located in</w:t>
      </w:r>
      <w:proofErr w:type="gramEnd"/>
      <w:r w:rsidRPr="00F31645">
        <w:rPr>
          <w:rFonts w:cstheme="minorHAnsi"/>
          <w:shd w:val="clear" w:color="auto" w:fill="FFFFFF"/>
        </w:rPr>
        <w:t xml:space="preserve"> the state of Ohio. The form comprised of a total 15 questions, however if a </w:t>
      </w:r>
      <w:r w:rsidRPr="00F31645">
        <w:rPr>
          <w:rFonts w:cstheme="minorHAnsi"/>
          <w:shd w:val="clear" w:color="auto" w:fill="FFFFFF"/>
        </w:rPr>
        <w:t>surveyed</w:t>
      </w:r>
      <w:r w:rsidRPr="00F31645">
        <w:rPr>
          <w:rFonts w:cstheme="minorHAnsi"/>
          <w:shd w:val="clear" w:color="auto" w:fill="FFFFFF"/>
        </w:rPr>
        <w:t xml:space="preserve"> was not applicable to answer a question they would not be asked the question.  There were 156 responses from school administrators.</w:t>
      </w:r>
    </w:p>
    <w:p w14:paraId="29D41C21" w14:textId="7935824D" w:rsidR="00F31645" w:rsidRPr="00F31645" w:rsidRDefault="00F31645" w:rsidP="00F31645">
      <w:pPr>
        <w:rPr>
          <w:rFonts w:cstheme="minorHAnsi"/>
          <w:shd w:val="clear" w:color="auto" w:fill="FFFFFF"/>
        </w:rPr>
      </w:pPr>
      <w:r w:rsidRPr="00F31645">
        <w:rPr>
          <w:rFonts w:cstheme="minorHAnsi"/>
          <w:shd w:val="clear" w:color="auto" w:fill="FFFFFF"/>
        </w:rPr>
        <w:t xml:space="preserve"> The hypothesis was that schools were implementing programs to help 25 students per school graduate using the industry credential graduation pathway. From making this hypothesis researchers could also make the conclusion that the graduation rate would increase since students would have another pathway to graduate. When asking the schools how many students they expected to graduate using this pathway this year, they expected the numbers to be the same as last year. All in all, the hypothesis turned out to be not supported, but the new industry credential graduation pathway seems to be used by many students to graduate.</w:t>
      </w:r>
    </w:p>
    <w:p w14:paraId="4947EEC3" w14:textId="77777777" w:rsidR="00F31645" w:rsidRPr="00F31645" w:rsidRDefault="00F31645" w:rsidP="00F31645">
      <w:pPr>
        <w:rPr>
          <w:rFonts w:cstheme="minorHAnsi"/>
          <w:shd w:val="clear" w:color="auto" w:fill="FFFFFF"/>
        </w:rPr>
      </w:pPr>
      <w:r w:rsidRPr="00F31645">
        <w:rPr>
          <w:rFonts w:cstheme="minorHAnsi"/>
          <w:shd w:val="clear" w:color="auto" w:fill="FFFFFF"/>
        </w:rPr>
        <w:t>As of 2019, on average, there are 10 or fewer students who graduate using this pathway per district. While this may seem like a small number, when you take into consideration that these students may not have been able to graduate, this number appears better. Students who do not receive a high school diploma are more susceptible to unemployment and poverty.</w:t>
      </w:r>
    </w:p>
    <w:p w14:paraId="4D05F41D" w14:textId="679F8155" w:rsidR="00F31645" w:rsidRPr="00F31645" w:rsidRDefault="00F31645" w:rsidP="00F31645">
      <w:pPr>
        <w:rPr>
          <w:rFonts w:cstheme="minorHAnsi"/>
        </w:rPr>
      </w:pPr>
      <w:r w:rsidRPr="00F31645">
        <w:rPr>
          <w:rFonts w:cstheme="minorHAnsi"/>
          <w:shd w:val="clear" w:color="auto" w:fill="FFFFFF"/>
        </w:rPr>
        <w:t>With that being said, the conclusion is that many students have and will benefit from this new graduation pathway. When asking the schools if they are helping students obtain the requirements they need to graduate with this pathway, 50% said they were, and the other 50% said they were not. The schools that are helping their students reach these requirements are doing so by working closely with career tech schools and connecting students with employers.</w:t>
      </w:r>
    </w:p>
    <w:sectPr w:rsidR="00F31645" w:rsidRPr="00F316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45"/>
    <w:rsid w:val="009F35DA"/>
    <w:rsid w:val="00C97343"/>
    <w:rsid w:val="00F31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D0B10"/>
  <w15:chartTrackingRefBased/>
  <w15:docId w15:val="{14A6AF87-E689-4F99-8AF5-A056C1B9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Glowacki, Celya</dc:creator>
  <cp:keywords/>
  <dc:description/>
  <cp:lastModifiedBy>Glowacki, Celya</cp:lastModifiedBy>
  <cp:revision>1</cp:revision>
  <dcterms:created xsi:type="dcterms:W3CDTF">2020-08-25T13:36:00Z</dcterms:created>
  <dcterms:modified xsi:type="dcterms:W3CDTF">2020-08-25T13:45:00Z</dcterms:modified>
</cp:coreProperties>
</file>