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13272" w14:textId="77777777" w:rsidR="000F1E0F" w:rsidRPr="000F1E0F" w:rsidRDefault="000F1E0F" w:rsidP="000F1E0F">
      <w:pPr>
        <w:pStyle w:val="Title"/>
        <w:rPr>
          <w:sz w:val="44"/>
          <w:szCs w:val="44"/>
        </w:rPr>
      </w:pPr>
      <w:r w:rsidRPr="000F1E0F">
        <w:rPr>
          <w:sz w:val="44"/>
          <w:szCs w:val="44"/>
        </w:rPr>
        <w:t>Professional Parliamentary Organizations and their Credentials</w:t>
      </w:r>
    </w:p>
    <w:p w14:paraId="123913F0" w14:textId="77777777" w:rsidR="000F1E0F" w:rsidRPr="00D7678E" w:rsidRDefault="000F1E0F" w:rsidP="000F1E0F">
      <w:pPr>
        <w:spacing w:after="0"/>
        <w:rPr>
          <w:rFonts w:eastAsia="Times New Roman" w:cstheme="minorHAnsi"/>
          <w:sz w:val="24"/>
          <w:szCs w:val="24"/>
        </w:rPr>
      </w:pPr>
    </w:p>
    <w:p w14:paraId="32BE8D78" w14:textId="77777777" w:rsidR="000F1E0F" w:rsidRPr="00D7678E" w:rsidRDefault="000F1E0F" w:rsidP="000F1E0F">
      <w:pPr>
        <w:spacing w:after="0"/>
        <w:rPr>
          <w:rFonts w:eastAsia="Times New Roman" w:cstheme="minorHAnsi"/>
          <w:sz w:val="24"/>
          <w:szCs w:val="24"/>
        </w:rPr>
      </w:pPr>
      <w:r w:rsidRPr="00D7678E">
        <w:rPr>
          <w:rFonts w:eastAsia="Times New Roman" w:cstheme="minorHAnsi"/>
          <w:sz w:val="24"/>
          <w:szCs w:val="24"/>
        </w:rPr>
        <w:t xml:space="preserve">There are two </w:t>
      </w:r>
      <w:r>
        <w:rPr>
          <w:rFonts w:eastAsia="Times New Roman" w:cstheme="minorHAnsi"/>
          <w:sz w:val="24"/>
          <w:szCs w:val="24"/>
        </w:rPr>
        <w:t xml:space="preserve">primary </w:t>
      </w:r>
      <w:r w:rsidRPr="00D7678E">
        <w:rPr>
          <w:rFonts w:eastAsia="Times New Roman" w:cstheme="minorHAnsi"/>
          <w:sz w:val="24"/>
          <w:szCs w:val="24"/>
        </w:rPr>
        <w:t>national parliamentary organizations: The National Association of Parliamentarians ("NAP") and the American Institute of Parliamentarians ("AIP"). Many professional parliamentarians are a member of, and involved in, both organizations</w:t>
      </w:r>
      <w:r>
        <w:rPr>
          <w:rFonts w:eastAsia="Times New Roman" w:cstheme="minorHAnsi"/>
          <w:sz w:val="24"/>
          <w:szCs w:val="24"/>
        </w:rPr>
        <w:t>. There are also smaller organizations such as the Society of Ag Ed Parliamentarians (SAEP), the American College of Parliamentary Lawyers (ACPL) and others that have some smaller and more specialized membership requirements</w:t>
      </w:r>
      <w:r w:rsidRPr="00D7678E">
        <w:rPr>
          <w:rFonts w:eastAsia="Times New Roman" w:cstheme="minorHAnsi"/>
          <w:sz w:val="24"/>
          <w:szCs w:val="24"/>
        </w:rPr>
        <w:t>. </w:t>
      </w:r>
    </w:p>
    <w:p w14:paraId="5345FFAC" w14:textId="77777777" w:rsidR="000F1E0F" w:rsidRPr="00D7678E" w:rsidRDefault="000F1E0F" w:rsidP="000F1E0F">
      <w:pPr>
        <w:spacing w:after="0"/>
        <w:rPr>
          <w:rFonts w:eastAsia="Times New Roman" w:cstheme="minorHAnsi"/>
          <w:sz w:val="24"/>
          <w:szCs w:val="24"/>
        </w:rPr>
      </w:pPr>
    </w:p>
    <w:p w14:paraId="3F6E4379" w14:textId="77777777" w:rsidR="000F1E0F" w:rsidRPr="00D7678E" w:rsidRDefault="000F1E0F" w:rsidP="000F1E0F">
      <w:pPr>
        <w:spacing w:after="0"/>
        <w:rPr>
          <w:rFonts w:eastAsia="Times New Roman" w:cstheme="minorHAnsi"/>
          <w:sz w:val="24"/>
          <w:szCs w:val="24"/>
        </w:rPr>
      </w:pPr>
      <w:r w:rsidRPr="00D7678E">
        <w:rPr>
          <w:rFonts w:eastAsia="Times New Roman" w:cstheme="minorHAnsi"/>
          <w:sz w:val="24"/>
          <w:szCs w:val="24"/>
        </w:rPr>
        <w:t>Here are some key differences</w:t>
      </w:r>
      <w:r>
        <w:rPr>
          <w:rFonts w:eastAsia="Times New Roman" w:cstheme="minorHAnsi"/>
          <w:sz w:val="24"/>
          <w:szCs w:val="24"/>
        </w:rPr>
        <w:t xml:space="preserve"> between NAP and AIP</w:t>
      </w:r>
      <w:r w:rsidRPr="00D7678E">
        <w:rPr>
          <w:rFonts w:eastAsia="Times New Roman" w:cstheme="minorHAnsi"/>
          <w:sz w:val="24"/>
          <w:szCs w:val="24"/>
        </w:rPr>
        <w:t>:</w:t>
      </w:r>
    </w:p>
    <w:p w14:paraId="041F5892" w14:textId="77777777" w:rsidR="000F1E0F" w:rsidRPr="00D7678E" w:rsidRDefault="000F1E0F" w:rsidP="000F1E0F">
      <w:pPr>
        <w:spacing w:after="0"/>
        <w:rPr>
          <w:rFonts w:eastAsia="Times New Roman" w:cstheme="minorHAnsi"/>
          <w:sz w:val="24"/>
          <w:szCs w:val="24"/>
        </w:rPr>
      </w:pPr>
    </w:p>
    <w:p w14:paraId="419583D3" w14:textId="77777777" w:rsidR="000F1E0F" w:rsidRDefault="000F1E0F" w:rsidP="000F1E0F">
      <w:pPr>
        <w:spacing w:after="0"/>
        <w:rPr>
          <w:rFonts w:eastAsia="Times New Roman" w:cstheme="minorHAnsi"/>
          <w:b/>
          <w:bCs/>
          <w:sz w:val="24"/>
          <w:szCs w:val="24"/>
        </w:rPr>
      </w:pPr>
      <w:r w:rsidRPr="00D7678E">
        <w:rPr>
          <w:rFonts w:eastAsia="Times New Roman" w:cstheme="minorHAnsi"/>
          <w:b/>
          <w:bCs/>
          <w:sz w:val="24"/>
          <w:szCs w:val="24"/>
        </w:rPr>
        <w:t>GENERAL</w:t>
      </w:r>
    </w:p>
    <w:p w14:paraId="1FEF04A1" w14:textId="3E188FAA" w:rsidR="000F1E0F" w:rsidRPr="00D7678E" w:rsidRDefault="000F1E0F" w:rsidP="000F1E0F">
      <w:pPr>
        <w:spacing w:after="0"/>
        <w:rPr>
          <w:rFonts w:eastAsia="Times New Roman" w:cstheme="minorHAnsi"/>
          <w:sz w:val="24"/>
          <w:szCs w:val="24"/>
        </w:rPr>
      </w:pPr>
      <w:r w:rsidRPr="00D7678E">
        <w:rPr>
          <w:rFonts w:eastAsia="Times New Roman" w:cstheme="minorHAnsi"/>
          <w:sz w:val="24"/>
          <w:szCs w:val="24"/>
        </w:rPr>
        <w:t xml:space="preserve">NAP is larger, and somewhat more well known. They require passing a basic test of knowledge </w:t>
      </w:r>
      <w:r w:rsidRPr="00D7678E">
        <w:rPr>
          <w:rFonts w:eastAsia="Times New Roman" w:cstheme="minorHAnsi"/>
          <w:sz w:val="24"/>
          <w:szCs w:val="24"/>
        </w:rPr>
        <w:t>to</w:t>
      </w:r>
      <w:r w:rsidRPr="00D7678E">
        <w:rPr>
          <w:rFonts w:eastAsia="Times New Roman" w:cstheme="minorHAnsi"/>
          <w:sz w:val="24"/>
          <w:szCs w:val="24"/>
        </w:rPr>
        <w:t xml:space="preserve"> be admitted. NAP members only study the current edition of </w:t>
      </w:r>
      <w:r w:rsidRPr="00D7678E">
        <w:rPr>
          <w:rFonts w:eastAsia="Times New Roman" w:cstheme="minorHAnsi"/>
          <w:i/>
          <w:iCs/>
          <w:sz w:val="24"/>
          <w:szCs w:val="24"/>
        </w:rPr>
        <w:t>Robert's Rules of Order Newly Revised (RONR)</w:t>
      </w:r>
    </w:p>
    <w:p w14:paraId="2F915933" w14:textId="77777777" w:rsidR="000F1E0F" w:rsidRPr="00D7678E" w:rsidRDefault="000F1E0F" w:rsidP="000F1E0F">
      <w:pPr>
        <w:spacing w:after="0"/>
        <w:rPr>
          <w:rFonts w:eastAsia="Times New Roman" w:cstheme="minorHAnsi"/>
          <w:sz w:val="24"/>
          <w:szCs w:val="24"/>
        </w:rPr>
      </w:pPr>
    </w:p>
    <w:p w14:paraId="7617C2A8" w14:textId="77777777" w:rsidR="000F1E0F" w:rsidRDefault="000F1E0F" w:rsidP="000F1E0F">
      <w:pPr>
        <w:spacing w:after="0"/>
        <w:rPr>
          <w:rFonts w:eastAsia="Times New Roman" w:cstheme="minorHAnsi"/>
          <w:sz w:val="24"/>
          <w:szCs w:val="24"/>
        </w:rPr>
      </w:pPr>
      <w:r w:rsidRPr="00D7678E">
        <w:rPr>
          <w:rFonts w:eastAsia="Times New Roman" w:cstheme="minorHAnsi"/>
          <w:sz w:val="24"/>
          <w:szCs w:val="24"/>
        </w:rPr>
        <w:t xml:space="preserve">AIP is smaller. It is generally preferred by doctors, dentists, and others who are members of organizations that use a parliamentary authority other than RONR, usually </w:t>
      </w:r>
      <w:r w:rsidRPr="00D7678E">
        <w:rPr>
          <w:rFonts w:eastAsia="Times New Roman" w:cstheme="minorHAnsi"/>
          <w:i/>
          <w:iCs/>
          <w:sz w:val="24"/>
          <w:szCs w:val="24"/>
        </w:rPr>
        <w:t>AIP's Standard Code of Parliamentary Procedure (AIPSC).</w:t>
      </w:r>
      <w:r w:rsidRPr="00D7678E">
        <w:rPr>
          <w:rFonts w:eastAsia="Times New Roman" w:cstheme="minorHAnsi"/>
          <w:sz w:val="24"/>
          <w:szCs w:val="24"/>
        </w:rPr>
        <w:t> There is no exam to join. </w:t>
      </w:r>
      <w:r>
        <w:rPr>
          <w:rFonts w:eastAsia="Times New Roman" w:cstheme="minorHAnsi"/>
          <w:sz w:val="24"/>
          <w:szCs w:val="24"/>
        </w:rPr>
        <w:t xml:space="preserve"> FFA members who compete in the Parliamentary Procedure LDE at the National level are automatically granted a scholarship for AIP membership that lasts until they are 30 years old.</w:t>
      </w:r>
    </w:p>
    <w:p w14:paraId="08938BAA" w14:textId="77777777" w:rsidR="000F1E0F" w:rsidRDefault="000F1E0F" w:rsidP="000F1E0F">
      <w:pPr>
        <w:spacing w:after="0"/>
        <w:rPr>
          <w:rFonts w:eastAsia="Times New Roman" w:cstheme="minorHAnsi"/>
          <w:sz w:val="24"/>
          <w:szCs w:val="24"/>
        </w:rPr>
      </w:pPr>
    </w:p>
    <w:p w14:paraId="1F61AA23" w14:textId="54EBF05D" w:rsidR="000F1E0F" w:rsidRPr="00D7678E" w:rsidRDefault="000F1E0F" w:rsidP="000F1E0F">
      <w:pPr>
        <w:spacing w:after="0"/>
        <w:rPr>
          <w:rFonts w:eastAsia="Times New Roman" w:cstheme="minorHAnsi"/>
          <w:sz w:val="24"/>
          <w:szCs w:val="24"/>
        </w:rPr>
      </w:pPr>
      <w:r>
        <w:rPr>
          <w:rFonts w:eastAsia="Times New Roman" w:cstheme="minorHAnsi"/>
          <w:sz w:val="24"/>
          <w:szCs w:val="24"/>
        </w:rPr>
        <w:t xml:space="preserve">SAEP is smaller than NAP and </w:t>
      </w:r>
      <w:r>
        <w:rPr>
          <w:rFonts w:eastAsia="Times New Roman" w:cstheme="minorHAnsi"/>
          <w:sz w:val="24"/>
          <w:szCs w:val="24"/>
        </w:rPr>
        <w:t>AIP and</w:t>
      </w:r>
      <w:r>
        <w:rPr>
          <w:rFonts w:eastAsia="Times New Roman" w:cstheme="minorHAnsi"/>
          <w:sz w:val="24"/>
          <w:szCs w:val="24"/>
        </w:rPr>
        <w:t xml:space="preserve"> is focused primarily on those who use parliamentary procedure in ag education. FFA members who compete in the Parliamentary Procedure LDE at the National level and score an 80% or higher on the test of core knowledge are members of the </w:t>
      </w:r>
      <w:r>
        <w:rPr>
          <w:rFonts w:eastAsia="Times New Roman" w:cstheme="minorHAnsi"/>
          <w:sz w:val="24"/>
          <w:szCs w:val="24"/>
        </w:rPr>
        <w:t>SAEP and</w:t>
      </w:r>
      <w:r>
        <w:rPr>
          <w:rFonts w:eastAsia="Times New Roman" w:cstheme="minorHAnsi"/>
          <w:sz w:val="24"/>
          <w:szCs w:val="24"/>
        </w:rPr>
        <w:t xml:space="preserve"> hold the credential of Accredited Parliamentarian (AP).</w:t>
      </w:r>
    </w:p>
    <w:p w14:paraId="00C8CF18" w14:textId="77777777" w:rsidR="000F1E0F" w:rsidRPr="00D7678E" w:rsidRDefault="000F1E0F" w:rsidP="000F1E0F">
      <w:pPr>
        <w:tabs>
          <w:tab w:val="left" w:pos="5456"/>
        </w:tabs>
        <w:spacing w:after="0"/>
        <w:rPr>
          <w:rFonts w:eastAsia="Times New Roman" w:cstheme="minorHAnsi"/>
          <w:sz w:val="24"/>
          <w:szCs w:val="24"/>
        </w:rPr>
      </w:pPr>
      <w:r>
        <w:rPr>
          <w:rFonts w:eastAsia="Times New Roman" w:cstheme="minorHAnsi"/>
          <w:sz w:val="24"/>
          <w:szCs w:val="24"/>
        </w:rPr>
        <w:tab/>
      </w:r>
    </w:p>
    <w:p w14:paraId="32BD7F0C" w14:textId="77777777" w:rsidR="000F1E0F" w:rsidRPr="00D7678E" w:rsidRDefault="000F1E0F" w:rsidP="000F1E0F">
      <w:pPr>
        <w:spacing w:after="0"/>
        <w:rPr>
          <w:rFonts w:eastAsia="Times New Roman" w:cstheme="minorHAnsi"/>
          <w:sz w:val="24"/>
          <w:szCs w:val="24"/>
        </w:rPr>
      </w:pPr>
      <w:r w:rsidRPr="00D7678E">
        <w:rPr>
          <w:rFonts w:eastAsia="Times New Roman" w:cstheme="minorHAnsi"/>
          <w:b/>
          <w:bCs/>
          <w:sz w:val="24"/>
          <w:szCs w:val="24"/>
        </w:rPr>
        <w:t>CREDENTIALS:</w:t>
      </w:r>
    </w:p>
    <w:p w14:paraId="2ABFB319" w14:textId="77777777" w:rsidR="000F1E0F" w:rsidRPr="00D7678E" w:rsidRDefault="000F1E0F" w:rsidP="000F1E0F">
      <w:pPr>
        <w:spacing w:after="0"/>
        <w:rPr>
          <w:rFonts w:eastAsia="Times New Roman" w:cstheme="minorHAnsi"/>
          <w:sz w:val="24"/>
          <w:szCs w:val="24"/>
        </w:rPr>
      </w:pPr>
      <w:r>
        <w:rPr>
          <w:rFonts w:eastAsia="Times New Roman" w:cstheme="minorHAnsi"/>
          <w:sz w:val="24"/>
          <w:szCs w:val="24"/>
        </w:rPr>
        <w:t xml:space="preserve">All three </w:t>
      </w:r>
      <w:r w:rsidRPr="00D7678E">
        <w:rPr>
          <w:rFonts w:eastAsia="Times New Roman" w:cstheme="minorHAnsi"/>
          <w:sz w:val="24"/>
          <w:szCs w:val="24"/>
        </w:rPr>
        <w:t xml:space="preserve">organizations offer two credentials. NAP's credentials are the Registered Parliamentarian (RP), and the Professional Registered Parliamentarian (PRP). The RP is a </w:t>
      </w:r>
      <w:r>
        <w:rPr>
          <w:rFonts w:eastAsia="Times New Roman" w:cstheme="minorHAnsi"/>
          <w:sz w:val="24"/>
          <w:szCs w:val="24"/>
        </w:rPr>
        <w:t xml:space="preserve">series of </w:t>
      </w:r>
      <w:r w:rsidRPr="00D7678E">
        <w:rPr>
          <w:rFonts w:eastAsia="Times New Roman" w:cstheme="minorHAnsi"/>
          <w:sz w:val="24"/>
          <w:szCs w:val="24"/>
        </w:rPr>
        <w:t>test</w:t>
      </w:r>
      <w:r>
        <w:rPr>
          <w:rFonts w:eastAsia="Times New Roman" w:cstheme="minorHAnsi"/>
          <w:sz w:val="24"/>
          <w:szCs w:val="24"/>
        </w:rPr>
        <w:t>s</w:t>
      </w:r>
      <w:r w:rsidRPr="00D7678E">
        <w:rPr>
          <w:rFonts w:eastAsia="Times New Roman" w:cstheme="minorHAnsi"/>
          <w:sz w:val="24"/>
          <w:szCs w:val="24"/>
        </w:rPr>
        <w:t xml:space="preserve"> </w:t>
      </w:r>
      <w:r>
        <w:rPr>
          <w:rFonts w:eastAsia="Times New Roman" w:cstheme="minorHAnsi"/>
          <w:sz w:val="24"/>
          <w:szCs w:val="24"/>
        </w:rPr>
        <w:t xml:space="preserve">which </w:t>
      </w:r>
      <w:r w:rsidRPr="00D7678E">
        <w:rPr>
          <w:rFonts w:eastAsia="Times New Roman" w:cstheme="minorHAnsi"/>
          <w:sz w:val="24"/>
          <w:szCs w:val="24"/>
        </w:rPr>
        <w:t>signifies that a member is qualified to serve as a parliamentarian for most ordinary meetings under usual circumstances and to provide commonly needed parliamentary advice to ordinary organizations.</w:t>
      </w:r>
      <w:r>
        <w:rPr>
          <w:rFonts w:eastAsia="Times New Roman" w:cstheme="minorHAnsi"/>
          <w:sz w:val="24"/>
          <w:szCs w:val="24"/>
        </w:rPr>
        <w:t xml:space="preserve"> The process includes a multiple-choice test, written assignments, and presiding over a mock meeting.</w:t>
      </w:r>
    </w:p>
    <w:p w14:paraId="17468CDB" w14:textId="77777777" w:rsidR="000F1E0F" w:rsidRPr="00D7678E" w:rsidRDefault="000F1E0F" w:rsidP="000F1E0F">
      <w:pPr>
        <w:spacing w:after="0"/>
        <w:rPr>
          <w:rFonts w:eastAsia="Times New Roman" w:cstheme="minorHAnsi"/>
          <w:sz w:val="24"/>
          <w:szCs w:val="24"/>
        </w:rPr>
      </w:pPr>
    </w:p>
    <w:p w14:paraId="3B8AF546" w14:textId="77777777" w:rsidR="000F1E0F" w:rsidRDefault="000F1E0F">
      <w:pPr>
        <w:spacing w:after="0"/>
        <w:rPr>
          <w:rFonts w:eastAsia="Times New Roman" w:cstheme="minorHAnsi"/>
          <w:sz w:val="24"/>
          <w:szCs w:val="24"/>
        </w:rPr>
      </w:pPr>
      <w:r>
        <w:rPr>
          <w:rFonts w:eastAsia="Times New Roman" w:cstheme="minorHAnsi"/>
          <w:sz w:val="24"/>
          <w:szCs w:val="24"/>
        </w:rPr>
        <w:br w:type="page"/>
      </w:r>
    </w:p>
    <w:p w14:paraId="08966353" w14:textId="4F4C41F3" w:rsidR="000F1E0F" w:rsidRPr="00D7678E" w:rsidRDefault="000F1E0F" w:rsidP="000F1E0F">
      <w:pPr>
        <w:spacing w:after="0"/>
        <w:rPr>
          <w:rFonts w:eastAsia="Times New Roman" w:cstheme="minorHAnsi"/>
          <w:sz w:val="24"/>
          <w:szCs w:val="24"/>
        </w:rPr>
      </w:pPr>
      <w:r w:rsidRPr="00D7678E">
        <w:rPr>
          <w:rFonts w:eastAsia="Times New Roman" w:cstheme="minorHAnsi"/>
          <w:sz w:val="24"/>
          <w:szCs w:val="24"/>
        </w:rPr>
        <w:lastRenderedPageBreak/>
        <w:t xml:space="preserve">The PRP is a </w:t>
      </w:r>
      <w:r>
        <w:rPr>
          <w:rFonts w:eastAsia="Times New Roman" w:cstheme="minorHAnsi"/>
          <w:sz w:val="24"/>
          <w:szCs w:val="24"/>
        </w:rPr>
        <w:t>multi</w:t>
      </w:r>
      <w:r w:rsidRPr="00D7678E">
        <w:rPr>
          <w:rFonts w:eastAsia="Times New Roman" w:cstheme="minorHAnsi"/>
          <w:sz w:val="24"/>
          <w:szCs w:val="24"/>
        </w:rPr>
        <w:t>-day skills demonstration course where members who have achieved their RP can go and demonstrate their ability to serve as a parliamentarian, preside over a meeting, teach a class, etc. An ethics component is required, and there are pre- and post-course writing assignments.</w:t>
      </w:r>
    </w:p>
    <w:p w14:paraId="0C6D1400" w14:textId="77777777" w:rsidR="000F1E0F" w:rsidRPr="00D7678E" w:rsidRDefault="000F1E0F" w:rsidP="000F1E0F">
      <w:pPr>
        <w:spacing w:after="0"/>
        <w:rPr>
          <w:rFonts w:eastAsia="Times New Roman" w:cstheme="minorHAnsi"/>
          <w:sz w:val="24"/>
          <w:szCs w:val="24"/>
        </w:rPr>
      </w:pPr>
    </w:p>
    <w:p w14:paraId="4FA4FF9B" w14:textId="5EC5B706" w:rsidR="000F1E0F" w:rsidRPr="00D7678E" w:rsidRDefault="000F1E0F" w:rsidP="000F1E0F">
      <w:pPr>
        <w:spacing w:after="0"/>
        <w:rPr>
          <w:rFonts w:eastAsia="Times New Roman" w:cstheme="minorHAnsi"/>
          <w:sz w:val="24"/>
          <w:szCs w:val="24"/>
        </w:rPr>
      </w:pPr>
      <w:r w:rsidRPr="00D7678E">
        <w:rPr>
          <w:rFonts w:eastAsia="Times New Roman" w:cstheme="minorHAnsi"/>
          <w:sz w:val="24"/>
          <w:szCs w:val="24"/>
        </w:rPr>
        <w:t xml:space="preserve">AIP's credentials are the Certified Parliamentarian (CP) and the Certified Professional Parliamentarian (CPP). The CP is a four-part exam covering multiple choice, short answer, essay, and a script-writing exercise. It is offered four times a </w:t>
      </w:r>
      <w:r w:rsidRPr="00D7678E">
        <w:rPr>
          <w:rFonts w:eastAsia="Times New Roman" w:cstheme="minorHAnsi"/>
          <w:sz w:val="24"/>
          <w:szCs w:val="24"/>
        </w:rPr>
        <w:t>year and</w:t>
      </w:r>
      <w:r w:rsidRPr="00D7678E">
        <w:rPr>
          <w:rFonts w:eastAsia="Times New Roman" w:cstheme="minorHAnsi"/>
          <w:sz w:val="24"/>
          <w:szCs w:val="24"/>
        </w:rPr>
        <w:t xml:space="preserve"> must be proctored.</w:t>
      </w:r>
    </w:p>
    <w:p w14:paraId="07EEB6F7" w14:textId="77777777" w:rsidR="000F1E0F" w:rsidRPr="00D7678E" w:rsidRDefault="000F1E0F" w:rsidP="000F1E0F">
      <w:pPr>
        <w:spacing w:after="0"/>
        <w:rPr>
          <w:rFonts w:eastAsia="Times New Roman" w:cstheme="minorHAnsi"/>
          <w:sz w:val="24"/>
          <w:szCs w:val="24"/>
        </w:rPr>
      </w:pPr>
    </w:p>
    <w:p w14:paraId="6BEDCED6" w14:textId="65932D16" w:rsidR="000F1E0F" w:rsidRDefault="000F1E0F" w:rsidP="000F1E0F">
      <w:pPr>
        <w:spacing w:after="0"/>
        <w:rPr>
          <w:rFonts w:eastAsia="Times New Roman" w:cstheme="minorHAnsi"/>
          <w:sz w:val="24"/>
          <w:szCs w:val="24"/>
        </w:rPr>
      </w:pPr>
      <w:r w:rsidRPr="00D7678E">
        <w:rPr>
          <w:rFonts w:eastAsia="Times New Roman" w:cstheme="minorHAnsi"/>
          <w:sz w:val="24"/>
          <w:szCs w:val="24"/>
        </w:rPr>
        <w:t xml:space="preserve">The CPP is a three-hour oral examination, taken before an audience. </w:t>
      </w:r>
      <w:r w:rsidRPr="00D7678E">
        <w:rPr>
          <w:rFonts w:eastAsia="Times New Roman" w:cstheme="minorHAnsi"/>
          <w:sz w:val="24"/>
          <w:szCs w:val="24"/>
        </w:rPr>
        <w:t>The first</w:t>
      </w:r>
      <w:r w:rsidRPr="00D7678E">
        <w:rPr>
          <w:rFonts w:eastAsia="Times New Roman" w:cstheme="minorHAnsi"/>
          <w:sz w:val="24"/>
          <w:szCs w:val="24"/>
        </w:rPr>
        <w:t xml:space="preserve"> portion deals with theory and general parliamentary knowledge. The second portion deals with presiding over a mock meeting. </w:t>
      </w:r>
    </w:p>
    <w:p w14:paraId="1D24CEEC" w14:textId="77777777" w:rsidR="000F1E0F" w:rsidRDefault="000F1E0F" w:rsidP="000F1E0F">
      <w:pPr>
        <w:spacing w:after="0"/>
        <w:rPr>
          <w:rFonts w:eastAsia="Times New Roman" w:cstheme="minorHAnsi"/>
          <w:sz w:val="24"/>
          <w:szCs w:val="24"/>
        </w:rPr>
      </w:pPr>
    </w:p>
    <w:p w14:paraId="2822EBDC" w14:textId="77777777" w:rsidR="000F1E0F" w:rsidRPr="00D7678E" w:rsidRDefault="000F1E0F" w:rsidP="000F1E0F">
      <w:pPr>
        <w:spacing w:after="0"/>
        <w:rPr>
          <w:rFonts w:eastAsia="Times New Roman" w:cstheme="minorHAnsi"/>
          <w:sz w:val="24"/>
          <w:szCs w:val="24"/>
        </w:rPr>
      </w:pPr>
      <w:r>
        <w:rPr>
          <w:rFonts w:eastAsia="Times New Roman" w:cstheme="minorHAnsi"/>
          <w:sz w:val="24"/>
          <w:szCs w:val="24"/>
        </w:rPr>
        <w:t>SAEP’s</w:t>
      </w:r>
      <w:r w:rsidRPr="00D7678E">
        <w:rPr>
          <w:rFonts w:eastAsia="Times New Roman" w:cstheme="minorHAnsi"/>
          <w:sz w:val="24"/>
          <w:szCs w:val="24"/>
        </w:rPr>
        <w:t xml:space="preserve"> credentials are the </w:t>
      </w:r>
      <w:r>
        <w:rPr>
          <w:rFonts w:eastAsia="Times New Roman" w:cstheme="minorHAnsi"/>
          <w:sz w:val="24"/>
          <w:szCs w:val="24"/>
        </w:rPr>
        <w:t xml:space="preserve">Accredited </w:t>
      </w:r>
      <w:r w:rsidRPr="00D7678E">
        <w:rPr>
          <w:rFonts w:eastAsia="Times New Roman" w:cstheme="minorHAnsi"/>
          <w:sz w:val="24"/>
          <w:szCs w:val="24"/>
        </w:rPr>
        <w:t>Parliamentarian (</w:t>
      </w:r>
      <w:r>
        <w:rPr>
          <w:rFonts w:eastAsia="Times New Roman" w:cstheme="minorHAnsi"/>
          <w:sz w:val="24"/>
          <w:szCs w:val="24"/>
        </w:rPr>
        <w:t>A</w:t>
      </w:r>
      <w:r w:rsidRPr="00D7678E">
        <w:rPr>
          <w:rFonts w:eastAsia="Times New Roman" w:cstheme="minorHAnsi"/>
          <w:sz w:val="24"/>
          <w:szCs w:val="24"/>
        </w:rPr>
        <w:t xml:space="preserve">P) and the Professional </w:t>
      </w:r>
      <w:r>
        <w:rPr>
          <w:rFonts w:eastAsia="Times New Roman" w:cstheme="minorHAnsi"/>
          <w:sz w:val="24"/>
          <w:szCs w:val="24"/>
        </w:rPr>
        <w:t xml:space="preserve">Accredited </w:t>
      </w:r>
      <w:r w:rsidRPr="00D7678E">
        <w:rPr>
          <w:rFonts w:eastAsia="Times New Roman" w:cstheme="minorHAnsi"/>
          <w:sz w:val="24"/>
          <w:szCs w:val="24"/>
        </w:rPr>
        <w:t>Parliamentarian (</w:t>
      </w:r>
      <w:r>
        <w:rPr>
          <w:rFonts w:eastAsia="Times New Roman" w:cstheme="minorHAnsi"/>
          <w:sz w:val="24"/>
          <w:szCs w:val="24"/>
        </w:rPr>
        <w:t>PA</w:t>
      </w:r>
      <w:r w:rsidRPr="00D7678E">
        <w:rPr>
          <w:rFonts w:eastAsia="Times New Roman" w:cstheme="minorHAnsi"/>
          <w:sz w:val="24"/>
          <w:szCs w:val="24"/>
        </w:rPr>
        <w:t xml:space="preserve">P). </w:t>
      </w:r>
    </w:p>
    <w:p w14:paraId="5EBF0C45" w14:textId="77777777" w:rsidR="000F1E0F" w:rsidRPr="00D7678E" w:rsidRDefault="000F1E0F" w:rsidP="000F1E0F">
      <w:pPr>
        <w:spacing w:after="0"/>
        <w:rPr>
          <w:rFonts w:eastAsia="Times New Roman" w:cstheme="minorHAnsi"/>
          <w:sz w:val="24"/>
          <w:szCs w:val="24"/>
        </w:rPr>
      </w:pPr>
    </w:p>
    <w:p w14:paraId="6246997E" w14:textId="77777777" w:rsidR="000F1E0F" w:rsidRPr="00D7678E" w:rsidRDefault="000F1E0F" w:rsidP="000F1E0F">
      <w:pPr>
        <w:spacing w:after="0"/>
        <w:rPr>
          <w:rFonts w:eastAsia="Times New Roman" w:cstheme="minorHAnsi"/>
          <w:sz w:val="24"/>
          <w:szCs w:val="24"/>
        </w:rPr>
      </w:pPr>
      <w:r w:rsidRPr="00D7678E">
        <w:rPr>
          <w:rFonts w:eastAsia="Times New Roman" w:cstheme="minorHAnsi"/>
          <w:sz w:val="24"/>
          <w:szCs w:val="24"/>
        </w:rPr>
        <w:t xml:space="preserve">NAP's </w:t>
      </w:r>
      <w:r>
        <w:rPr>
          <w:rFonts w:eastAsia="Times New Roman" w:cstheme="minorHAnsi"/>
          <w:sz w:val="24"/>
          <w:szCs w:val="24"/>
        </w:rPr>
        <w:t xml:space="preserve">and SAEP’s </w:t>
      </w:r>
      <w:r w:rsidRPr="00D7678E">
        <w:rPr>
          <w:rFonts w:eastAsia="Times New Roman" w:cstheme="minorHAnsi"/>
          <w:sz w:val="24"/>
          <w:szCs w:val="24"/>
        </w:rPr>
        <w:t xml:space="preserve">exams are based </w:t>
      </w:r>
      <w:r>
        <w:rPr>
          <w:rFonts w:eastAsia="Times New Roman" w:cstheme="minorHAnsi"/>
          <w:sz w:val="24"/>
          <w:szCs w:val="24"/>
        </w:rPr>
        <w:t xml:space="preserve">solely </w:t>
      </w:r>
      <w:r w:rsidRPr="00D7678E">
        <w:rPr>
          <w:rFonts w:eastAsia="Times New Roman" w:cstheme="minorHAnsi"/>
          <w:sz w:val="24"/>
          <w:szCs w:val="24"/>
        </w:rPr>
        <w:t>on RONR, only, while AIP's cover RONR, AIPSC, and depending on the exam, other resources as well.</w:t>
      </w:r>
    </w:p>
    <w:p w14:paraId="497B5C3A" w14:textId="77777777" w:rsidR="000F1E0F" w:rsidRPr="00D7678E" w:rsidRDefault="000F1E0F" w:rsidP="000F1E0F">
      <w:pPr>
        <w:spacing w:after="0"/>
        <w:rPr>
          <w:rFonts w:eastAsia="Times New Roman" w:cstheme="minorHAnsi"/>
          <w:sz w:val="24"/>
          <w:szCs w:val="24"/>
        </w:rPr>
      </w:pPr>
    </w:p>
    <w:p w14:paraId="1C8DF4AA" w14:textId="77777777" w:rsidR="000F1E0F" w:rsidRPr="00D7678E" w:rsidRDefault="000F1E0F" w:rsidP="000F1E0F">
      <w:pPr>
        <w:rPr>
          <w:rFonts w:cstheme="minorHAnsi"/>
        </w:rPr>
      </w:pPr>
    </w:p>
    <w:p w14:paraId="01B1DA06" w14:textId="77777777" w:rsidR="00B74AFA" w:rsidRPr="000F1E0F" w:rsidRDefault="00B74AFA" w:rsidP="000F1E0F"/>
    <w:sectPr w:rsidR="00B74AFA" w:rsidRPr="000F1E0F">
      <w:headerReference w:type="default" r:id="rId7"/>
      <w:footerReference w:type="default" r:id="rId8"/>
      <w:headerReference w:type="first" r:id="rId9"/>
      <w:footerReference w:type="first" r:id="rId10"/>
      <w:pgSz w:w="12242" w:h="15842"/>
      <w:pgMar w:top="1412" w:right="1412" w:bottom="1412" w:left="1412" w:header="709" w:footer="3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E6908" w14:textId="77777777" w:rsidR="001804AF" w:rsidRDefault="001804AF">
      <w:pPr>
        <w:spacing w:after="0"/>
      </w:pPr>
      <w:r>
        <w:separator/>
      </w:r>
    </w:p>
  </w:endnote>
  <w:endnote w:type="continuationSeparator" w:id="0">
    <w:p w14:paraId="5903149E" w14:textId="77777777" w:rsidR="001804AF" w:rsidRDefault="001804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nton">
    <w:panose1 w:val="00000500000000000000"/>
    <w:charset w:val="00"/>
    <w:family w:val="auto"/>
    <w:pitch w:val="variable"/>
    <w:sig w:usb0="2000000F"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A961D" w14:textId="77777777" w:rsidR="004C0B38" w:rsidRDefault="00100A34">
    <w:pPr>
      <w:pBdr>
        <w:top w:val="nil"/>
        <w:left w:val="nil"/>
        <w:bottom w:val="nil"/>
        <w:right w:val="nil"/>
        <w:between w:val="nil"/>
      </w:pBdr>
      <w:tabs>
        <w:tab w:val="center" w:pos="4513"/>
        <w:tab w:val="right" w:pos="9026"/>
      </w:tabs>
      <w:spacing w:after="0"/>
      <w:jc w:val="center"/>
      <w:rPr>
        <w:b/>
        <w:color w:val="FFFFFF"/>
        <w:sz w:val="12"/>
        <w:szCs w:val="12"/>
      </w:rPr>
    </w:pPr>
    <w:r>
      <w:rPr>
        <w:b/>
        <w:color w:val="FFFFFF"/>
        <w:sz w:val="12"/>
        <w:szCs w:val="12"/>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1959D" w14:textId="77777777" w:rsidR="004C0B38" w:rsidRDefault="00100A34">
    <w:pPr>
      <w:pBdr>
        <w:top w:val="nil"/>
        <w:left w:val="nil"/>
        <w:bottom w:val="nil"/>
        <w:right w:val="nil"/>
        <w:between w:val="nil"/>
      </w:pBdr>
      <w:tabs>
        <w:tab w:val="center" w:pos="4513"/>
        <w:tab w:val="right" w:pos="9026"/>
      </w:tabs>
      <w:spacing w:after="0"/>
      <w:jc w:val="center"/>
      <w:rPr>
        <w:b/>
        <w:color w:val="FFFFFF"/>
        <w:sz w:val="12"/>
        <w:szCs w:val="12"/>
      </w:rPr>
    </w:pPr>
    <w:r>
      <w:rPr>
        <w:b/>
        <w:color w:val="FFFFFF"/>
        <w:sz w:val="12"/>
        <w:szCs w:val="12"/>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59B2E" w14:textId="77777777" w:rsidR="001804AF" w:rsidRDefault="001804AF">
      <w:pPr>
        <w:spacing w:after="0"/>
      </w:pPr>
      <w:r>
        <w:separator/>
      </w:r>
    </w:p>
  </w:footnote>
  <w:footnote w:type="continuationSeparator" w:id="0">
    <w:p w14:paraId="1557EC36" w14:textId="77777777" w:rsidR="001804AF" w:rsidRDefault="001804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B56C0" w14:textId="27CE51B6" w:rsidR="004C0B38" w:rsidRDefault="005E5189">
    <w:pPr>
      <w:pBdr>
        <w:top w:val="nil"/>
        <w:left w:val="nil"/>
        <w:bottom w:val="nil"/>
        <w:right w:val="nil"/>
        <w:between w:val="nil"/>
      </w:pBdr>
      <w:tabs>
        <w:tab w:val="center" w:pos="4513"/>
        <w:tab w:val="right" w:pos="9026"/>
      </w:tabs>
      <w:spacing w:after="0"/>
    </w:pPr>
    <w:r>
      <w:rPr>
        <w:noProof/>
      </w:rPr>
      <mc:AlternateContent>
        <mc:Choice Requires="wps">
          <w:drawing>
            <wp:anchor distT="0" distB="0" distL="0" distR="0" simplePos="0" relativeHeight="251658240" behindDoc="0" locked="0" layoutInCell="1" allowOverlap="1" wp14:anchorId="09DDF49E" wp14:editId="34FB4D39">
              <wp:simplePos x="0" y="0"/>
              <wp:positionH relativeFrom="page">
                <wp:align>center</wp:align>
              </wp:positionH>
              <wp:positionV relativeFrom="page">
                <wp:posOffset>418465</wp:posOffset>
              </wp:positionV>
              <wp:extent cx="7781925" cy="215265"/>
              <wp:effectExtent l="0" t="0" r="0" b="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215265"/>
                      </a:xfrm>
                      <a:prstGeom prst="rect">
                        <a:avLst/>
                      </a:prstGeom>
                      <a:solidFill>
                        <a:srgbClr val="17274A"/>
                      </a:solidFill>
                      <a:ln>
                        <a:noFill/>
                      </a:ln>
                    </wps:spPr>
                    <wps:txbx>
                      <w:txbxContent>
                        <w:p w14:paraId="78678985"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DDF49E" id="Rectangle 5" o:spid="_x0000_s1026" style="position:absolute;margin-left:0;margin-top:32.95pt;width:612.75pt;height:16.95pt;z-index:251658240;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" fillcolor="#17274a" stroked="f">
              <v:textbox inset="2.53958mm,2.53958mm,2.53958mm,2.53958mm">
                <w:txbxContent>
                  <w:p w14:paraId="78678985" w14:textId="77777777" w:rsidR="004C0B38" w:rsidRDefault="004C0B38">
                    <w:pPr>
                      <w:spacing w:after="0"/>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59264" behindDoc="0" locked="0" layoutInCell="1" allowOverlap="1" wp14:anchorId="6EE15CAC" wp14:editId="642013A7">
              <wp:simplePos x="0" y="0"/>
              <wp:positionH relativeFrom="page">
                <wp:align>center</wp:align>
              </wp:positionH>
              <wp:positionV relativeFrom="page">
                <wp:align>top</wp:align>
              </wp:positionV>
              <wp:extent cx="7781925" cy="567055"/>
              <wp:effectExtent l="0" t="0" r="0" b="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567055"/>
                      </a:xfrm>
                      <a:prstGeom prst="rect">
                        <a:avLst/>
                      </a:prstGeom>
                      <a:solidFill>
                        <a:srgbClr val="DF591D"/>
                      </a:solidFill>
                      <a:ln>
                        <a:noFill/>
                      </a:ln>
                    </wps:spPr>
                    <wps:txbx>
                      <w:txbxContent>
                        <w:p w14:paraId="064B9023"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E15CAC" id="Rectangle 4" o:spid="_x0000_s1027" style="position:absolute;margin-left:0;margin-top:0;width:612.75pt;height:44.65pt;z-index:251659264;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" fillcolor="#df591d" stroked="f">
              <v:textbox inset="2.53958mm,2.53958mm,2.53958mm,2.53958mm">
                <w:txbxContent>
                  <w:p w14:paraId="064B9023" w14:textId="77777777" w:rsidR="004C0B38" w:rsidRDefault="004C0B38">
                    <w:pPr>
                      <w:spacing w:after="0"/>
                      <w:textDirection w:val="btLr"/>
                    </w:pP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1B2B4" w14:textId="2AC31875" w:rsidR="004C0B38" w:rsidRDefault="005E5189">
    <w:pPr>
      <w:pBdr>
        <w:top w:val="nil"/>
        <w:left w:val="nil"/>
        <w:bottom w:val="nil"/>
        <w:right w:val="nil"/>
        <w:between w:val="nil"/>
      </w:pBdr>
      <w:tabs>
        <w:tab w:val="center" w:pos="4513"/>
        <w:tab w:val="right" w:pos="9026"/>
      </w:tabs>
      <w:spacing w:after="0"/>
    </w:pPr>
    <w:r>
      <w:rPr>
        <w:noProof/>
      </w:rPr>
      <mc:AlternateContent>
        <mc:Choice Requires="wps">
          <w:drawing>
            <wp:anchor distT="0" distB="0" distL="0" distR="0" simplePos="0" relativeHeight="251660288" behindDoc="0" locked="0" layoutInCell="1" allowOverlap="1" wp14:anchorId="1E4F5A9C" wp14:editId="13DD4595">
              <wp:simplePos x="0" y="0"/>
              <wp:positionH relativeFrom="page">
                <wp:align>center</wp:align>
              </wp:positionH>
              <wp:positionV relativeFrom="page">
                <wp:posOffset>1252855</wp:posOffset>
              </wp:positionV>
              <wp:extent cx="7781925" cy="215265"/>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215265"/>
                      </a:xfrm>
                      <a:prstGeom prst="rect">
                        <a:avLst/>
                      </a:prstGeom>
                      <a:solidFill>
                        <a:srgbClr val="17274A"/>
                      </a:solidFill>
                      <a:ln>
                        <a:noFill/>
                      </a:ln>
                    </wps:spPr>
                    <wps:txbx>
                      <w:txbxContent>
                        <w:p w14:paraId="477C28B4"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4F5A9C" id="Rectangle 2" o:spid="_x0000_s1028" style="position:absolute;margin-left:0;margin-top:98.65pt;width:612.75pt;height:16.95pt;z-index:251660288;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" fillcolor="#17274a" stroked="f">
              <v:textbox inset="2.53958mm,2.53958mm,2.53958mm,2.53958mm">
                <w:txbxContent>
                  <w:p w14:paraId="477C28B4" w14:textId="77777777" w:rsidR="004C0B38" w:rsidRDefault="004C0B38">
                    <w:pPr>
                      <w:spacing w:after="0"/>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61312" behindDoc="0" locked="0" layoutInCell="1" allowOverlap="1" wp14:anchorId="54E4D71A" wp14:editId="4AAC2354">
              <wp:simplePos x="0" y="0"/>
              <wp:positionH relativeFrom="page">
                <wp:align>center</wp:align>
              </wp:positionH>
              <wp:positionV relativeFrom="page">
                <wp:align>top</wp:align>
              </wp:positionV>
              <wp:extent cx="7781925" cy="1266825"/>
              <wp:effectExtent l="0" t="0" r="0" b="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1266825"/>
                      </a:xfrm>
                      <a:prstGeom prst="rect">
                        <a:avLst/>
                      </a:prstGeom>
                      <a:solidFill>
                        <a:srgbClr val="DF591D"/>
                      </a:solidFill>
                      <a:ln>
                        <a:noFill/>
                      </a:ln>
                    </wps:spPr>
                    <wps:txbx>
                      <w:txbxContent>
                        <w:p w14:paraId="0275A889"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E4D71A" id="Rectangle 3" o:spid="_x0000_s1029" style="position:absolute;margin-left:0;margin-top:0;width:612.75pt;height:99.75pt;z-index:251661312;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" fillcolor="#df591d" stroked="f">
              <v:textbox inset="2.53958mm,2.53958mm,2.53958mm,2.53958mm">
                <w:txbxContent>
                  <w:p w14:paraId="0275A889" w14:textId="77777777" w:rsidR="004C0B38" w:rsidRDefault="004C0B38">
                    <w:pPr>
                      <w:spacing w:after="0"/>
                      <w:textDirection w:val="btLr"/>
                    </w:pPr>
                  </w:p>
                </w:txbxContent>
              </v:textbox>
              <w10:wrap type="square" anchorx="page" anchory="page"/>
            </v:rect>
          </w:pict>
        </mc:Fallback>
      </mc:AlternateContent>
    </w:r>
    <w:r>
      <w:rPr>
        <w:noProof/>
      </w:rPr>
      <w:drawing>
        <wp:anchor distT="0" distB="0" distL="114300" distR="114300" simplePos="0" relativeHeight="251662336" behindDoc="0" locked="0" layoutInCell="1" allowOverlap="1" wp14:anchorId="4E80934B" wp14:editId="029B67A9">
          <wp:simplePos x="0" y="0"/>
          <wp:positionH relativeFrom="column">
            <wp:posOffset>2207895</wp:posOffset>
          </wp:positionH>
          <wp:positionV relativeFrom="paragraph">
            <wp:posOffset>121285</wp:posOffset>
          </wp:positionV>
          <wp:extent cx="1564005" cy="1323975"/>
          <wp:effectExtent l="0" t="0" r="0" b="0"/>
          <wp:wrapTopAndBottom/>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00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36CF2"/>
    <w:multiLevelType w:val="hybridMultilevel"/>
    <w:tmpl w:val="88D62236"/>
    <w:lvl w:ilvl="0" w:tplc="D42C3E96">
      <w:start w:val="1"/>
      <w:numFmt w:val="decimal"/>
      <w:lvlText w:val="%1."/>
      <w:lvlJc w:val="left"/>
      <w:pPr>
        <w:ind w:left="360" w:hanging="360"/>
      </w:pPr>
      <w:rPr>
        <w:rFonts w:ascii="Verdana" w:hAnsi="Verdana"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E12A37"/>
    <w:multiLevelType w:val="hybridMultilevel"/>
    <w:tmpl w:val="56905F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3B6EE7"/>
    <w:multiLevelType w:val="hybridMultilevel"/>
    <w:tmpl w:val="19AAF67A"/>
    <w:lvl w:ilvl="0" w:tplc="531E33F4">
      <w:start w:val="1"/>
      <w:numFmt w:val="lowerLetter"/>
      <w:pStyle w:val="ExamAnsw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BE784E"/>
    <w:multiLevelType w:val="hybridMultilevel"/>
    <w:tmpl w:val="96CEFA9A"/>
    <w:lvl w:ilvl="0" w:tplc="891A4E12">
      <w:start w:val="1"/>
      <w:numFmt w:val="decimal"/>
      <w:pStyle w:val="ExamQuestion"/>
      <w:lvlText w:val="%1."/>
      <w:lvlJc w:val="left"/>
      <w:pPr>
        <w:ind w:left="360" w:hanging="360"/>
      </w:pPr>
      <w:rPr>
        <w:rFonts w:ascii="Montserrat" w:hAnsi="Montserrat" w:hint="default"/>
        <w:sz w:val="18"/>
        <w:szCs w:val="1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9445C3"/>
    <w:multiLevelType w:val="hybridMultilevel"/>
    <w:tmpl w:val="0DC8FB9E"/>
    <w:lvl w:ilvl="0" w:tplc="613EEC86">
      <w:start w:val="1"/>
      <w:numFmt w:val="lowerLetter"/>
      <w:lvlText w:val="%1."/>
      <w:lvlJc w:val="left"/>
      <w:pPr>
        <w:ind w:left="720" w:hanging="360"/>
      </w:pPr>
      <w:rPr>
        <w:rFonts w:hint="default"/>
        <w:sz w:val="16"/>
        <w:szCs w:val="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38"/>
    <w:rsid w:val="000F1E0F"/>
    <w:rsid w:val="00100A34"/>
    <w:rsid w:val="001804AF"/>
    <w:rsid w:val="004C0B38"/>
    <w:rsid w:val="005C6D37"/>
    <w:rsid w:val="005E5189"/>
    <w:rsid w:val="008670EE"/>
    <w:rsid w:val="00AD0026"/>
    <w:rsid w:val="00B74AFA"/>
    <w:rsid w:val="00FC5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0035D"/>
  <w15:docId w15:val="{4940ACF3-DA57-49E8-B441-D1B33F3F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ontserrat" w:eastAsia="Montserrat" w:hAnsi="Montserrat" w:cs="Montserrat"/>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rPr>
      <w:color w:val="011E41"/>
      <w:sz w:val="18"/>
      <w:szCs w:val="18"/>
    </w:rPr>
  </w:style>
  <w:style w:type="paragraph" w:styleId="Heading1">
    <w:name w:val="heading 1"/>
    <w:basedOn w:val="Normal"/>
    <w:next w:val="Normal"/>
    <w:uiPriority w:val="9"/>
    <w:qFormat/>
    <w:pPr>
      <w:keepNext/>
      <w:keepLines/>
      <w:spacing w:after="200"/>
      <w:outlineLvl w:val="0"/>
    </w:pPr>
    <w:rPr>
      <w:rFonts w:ascii="Anton" w:eastAsia="Anton" w:hAnsi="Anton" w:cs="Anton"/>
      <w:sz w:val="36"/>
      <w:szCs w:val="36"/>
    </w:rPr>
  </w:style>
  <w:style w:type="paragraph" w:styleId="Heading2">
    <w:name w:val="heading 2"/>
    <w:basedOn w:val="Normal"/>
    <w:next w:val="Normal"/>
    <w:uiPriority w:val="9"/>
    <w:unhideWhenUsed/>
    <w:qFormat/>
    <w:pPr>
      <w:keepNext/>
      <w:keepLines/>
      <w:spacing w:before="40" w:after="0"/>
      <w:outlineLvl w:val="1"/>
    </w:pPr>
    <w:rPr>
      <w:rFonts w:ascii="Anton" w:eastAsia="Anton" w:hAnsi="Anton" w:cs="Anton"/>
      <w:sz w:val="28"/>
      <w:szCs w:val="28"/>
    </w:rPr>
  </w:style>
  <w:style w:type="paragraph" w:styleId="Heading3">
    <w:name w:val="heading 3"/>
    <w:basedOn w:val="Normal"/>
    <w:next w:val="Normal"/>
    <w:uiPriority w:val="9"/>
    <w:unhideWhenUsed/>
    <w:qFormat/>
    <w:pPr>
      <w:keepNext/>
      <w:keepLines/>
      <w:spacing w:before="40" w:after="0"/>
      <w:outlineLvl w:val="2"/>
    </w:pPr>
    <w:rPr>
      <w:rFonts w:ascii="Anton" w:eastAsia="Anton" w:hAnsi="Anton" w:cs="Anton"/>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Anton" w:eastAsia="Anton" w:hAnsi="Anton" w:cs="Anton"/>
      <w:color w:val="E1251B"/>
      <w:sz w:val="20"/>
      <w:szCs w:val="20"/>
    </w:rPr>
  </w:style>
  <w:style w:type="paragraph" w:styleId="Heading5">
    <w:name w:val="heading 5"/>
    <w:basedOn w:val="Normal"/>
    <w:next w:val="Normal"/>
    <w:uiPriority w:val="9"/>
    <w:semiHidden/>
    <w:unhideWhenUsed/>
    <w:qFormat/>
    <w:pPr>
      <w:keepNext/>
      <w:keepLines/>
      <w:spacing w:before="40" w:after="0"/>
      <w:outlineLvl w:val="4"/>
    </w:pPr>
    <w:rPr>
      <w:rFonts w:ascii="Anton" w:eastAsia="Anton" w:hAnsi="Anton" w:cs="Anton"/>
      <w:color w:val="003771"/>
    </w:rPr>
  </w:style>
  <w:style w:type="paragraph" w:styleId="Heading6">
    <w:name w:val="heading 6"/>
    <w:basedOn w:val="Normal"/>
    <w:next w:val="Normal"/>
    <w:uiPriority w:val="9"/>
    <w:semiHidden/>
    <w:unhideWhenUsed/>
    <w:qFormat/>
    <w:pPr>
      <w:keepNext/>
      <w:keepLines/>
      <w:spacing w:before="40" w:after="0"/>
      <w:outlineLvl w:val="5"/>
    </w:pPr>
    <w:rPr>
      <w:rFonts w:ascii="Anton" w:eastAsia="Anton" w:hAnsi="Anton" w:cs="Anton"/>
      <w:color w:val="00244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200"/>
    </w:pPr>
    <w:rPr>
      <w:rFonts w:ascii="Anton" w:eastAsia="Anton" w:hAnsi="Anton" w:cs="Anton"/>
      <w:smallCaps/>
      <w:color w:val="004A98"/>
      <w:sz w:val="48"/>
      <w:szCs w:val="48"/>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left w:w="115" w:type="dxa"/>
        <w:right w:w="115" w:type="dxa"/>
      </w:tblCellMar>
    </w:tblPr>
    <w:tcPr>
      <w:shd w:val="clear" w:color="auto" w:fill="F2DAB2"/>
    </w:tcPr>
    <w:tblStylePr w:type="firstRow">
      <w:rPr>
        <w:rFonts w:ascii="Anton" w:eastAsia="Anton" w:hAnsi="Anton" w:cs="Anton"/>
        <w:color w:val="FFFFFF"/>
      </w:rPr>
      <w:tblPr/>
      <w:tcPr>
        <w:tcBorders>
          <w:top w:val="nil"/>
          <w:left w:val="nil"/>
          <w:bottom w:val="nil"/>
          <w:right w:val="nil"/>
          <w:insideH w:val="nil"/>
          <w:insideV w:val="nil"/>
        </w:tcBorders>
        <w:shd w:val="clear" w:color="auto" w:fill="011E41"/>
      </w:tcPr>
    </w:tblStylePr>
  </w:style>
  <w:style w:type="paragraph" w:styleId="ListParagraph">
    <w:name w:val="List Paragraph"/>
    <w:basedOn w:val="Normal"/>
    <w:uiPriority w:val="34"/>
    <w:qFormat/>
    <w:rsid w:val="005C6D37"/>
    <w:pPr>
      <w:ind w:left="720"/>
    </w:pPr>
  </w:style>
  <w:style w:type="paragraph" w:customStyle="1" w:styleId="ExamQuestion">
    <w:name w:val="Exam Question"/>
    <w:basedOn w:val="Heading1"/>
    <w:qFormat/>
    <w:rsid w:val="005E5189"/>
    <w:pPr>
      <w:numPr>
        <w:numId w:val="2"/>
      </w:numPr>
      <w:spacing w:before="240" w:after="60" w:line="259" w:lineRule="auto"/>
    </w:pPr>
    <w:rPr>
      <w:rFonts w:ascii="Montserrat" w:eastAsia="Times New Roman" w:hAnsi="Montserrat" w:cs="Arial"/>
      <w:color w:val="000000"/>
      <w:sz w:val="18"/>
      <w:szCs w:val="18"/>
      <w:shd w:val="clear" w:color="auto" w:fill="FFFFFF"/>
    </w:rPr>
  </w:style>
  <w:style w:type="paragraph" w:customStyle="1" w:styleId="ExamAnswer">
    <w:name w:val="Exam Answer"/>
    <w:basedOn w:val="ListParagraph"/>
    <w:autoRedefine/>
    <w:qFormat/>
    <w:rsid w:val="005E5189"/>
    <w:pPr>
      <w:numPr>
        <w:numId w:val="5"/>
      </w:numPr>
      <w:spacing w:line="259" w:lineRule="auto"/>
      <w:contextualSpacing/>
    </w:pPr>
    <w:rPr>
      <w:rFonts w:eastAsiaTheme="minorHAnsi" w:cstheme="minorBidi"/>
      <w:color w:val="auto"/>
    </w:rPr>
  </w:style>
  <w:style w:type="table" w:styleId="TableGrid">
    <w:name w:val="Table Grid"/>
    <w:basedOn w:val="TableNormal"/>
    <w:uiPriority w:val="39"/>
    <w:rsid w:val="00FC518C"/>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BONUS CONTENT Professional Parliamentary Organizations and their Credentials</Template>
  <TotalTime>1</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Herl,Carol</dc:creator>
  <cp:lastModifiedBy>Herl,Carol</cp:lastModifiedBy>
  <cp:revision>2</cp:revision>
  <dcterms:created xsi:type="dcterms:W3CDTF">2020-11-30T19:38:00Z</dcterms:created>
  <dcterms:modified xsi:type="dcterms:W3CDTF">2020-11-30T19:38:00Z</dcterms:modified>
</cp:coreProperties>
</file>